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CHECKLIST OPSTART BUDGETBEHEER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40" w:lineRule="auto"/>
        <w:ind w:left="340" w:right="0" w:hanging="34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NAAM </w:t>
      </w:r>
      <w:r w:rsidDel="00000000" w:rsidR="00000000" w:rsidRPr="00000000">
        <w:rPr>
          <w:b w:val="1"/>
          <w:sz w:val="24"/>
          <w:szCs w:val="24"/>
          <w:rtl w:val="0"/>
        </w:rPr>
        <w:t xml:space="preserve">CLIËNT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40" w:lineRule="auto"/>
        <w:ind w:left="340" w:right="0" w:hanging="34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40" w:lineRule="auto"/>
        <w:ind w:left="340" w:right="0" w:hanging="340"/>
        <w:jc w:val="lef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(indien niet van toepassing: schrappen)</w:t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Ontvangstbewijs budgethulpverlening 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Inlichtingenfiche</w:t>
      </w:r>
    </w:p>
    <w:p w:rsidR="00000000" w:rsidDel="00000000" w:rsidP="00000000" w:rsidRDefault="00000000" w:rsidRPr="00000000" w14:paraId="00000009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Cliëntdossier in softwareprogramma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aanmaken of ‘eigenaar-medewerker’ aanpassen</w:t>
      </w:r>
    </w:p>
    <w:p w:rsidR="00000000" w:rsidDel="00000000" w:rsidP="00000000" w:rsidRDefault="00000000" w:rsidRPr="00000000" w14:paraId="0000000A">
      <w:pPr>
        <w:spacing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Rekening in Belfiusweb openen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Kopie ID kaart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Ontvangstbewijs bankkaart afnamerekening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 BCSD opstart budgetbeheer (eventueel met schuldbemiddeling) voorbrengen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 wettelijke 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vereenkomst schuldbemiddeling (wet op consumentenkrediet)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 bijlage 1: 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sz w:val="24"/>
          <w:szCs w:val="24"/>
          <w:rtl w:val="0"/>
        </w:rPr>
        <w:t xml:space="preserve">aanvulling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sz w:val="24"/>
          <w:szCs w:val="24"/>
          <w:rtl w:val="0"/>
        </w:rPr>
        <w:t xml:space="preserve"> overeenkomst schuldbemiddeling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Financieel maand- en jaaroverzicht 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Ontvangstbewijs maandoverzicht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Overzicht schuldeisers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ff0000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Doorgeven onthaal nieuwe cliënt in budgetbeheer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Volmachten om diensten op de hoogte te brengen wijziging rekeningnummer (vakbond, ziekenfonds, uitbetaalinstantie Groeipakket, Vakantiekas, Belastingen…)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Opvolgen dat rekeningnummer doorgegeven wordt aan werkgever, ziekenfonds, vakbond, uitbetaalinstantie Groeipakket, Vakantiekas, Belastingen,… 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Domiciliëring op oude rekening laten stopzetten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Oude rekeningnummers afsluiten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Budgetdossier in dossierbehandelingssysteem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aanmaken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Schuldeisers aanschrijven (brief opstart budgethulpverlening)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Doorgeven apotheek/dokter nieuwe cliënt in budgetbeheer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ff0000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Overzicht evaluatiemomenten 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Startfiche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Schulden laten nakijken door jurist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0">
      <w:pPr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9" w:w="11907" w:orient="portrait"/>
      <w:pgMar w:bottom="1134" w:top="1134" w:left="1134" w:right="1134" w:header="709" w:footer="284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Tabitha Tanghe" w:id="0" w:date="2024-04-09T08:50:22Z"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volgorde aanpassen (checklist werkt op chronologische volgorde)</w:t>
      </w:r>
    </w:p>
  </w:comment>
  <w:comment w:author="Tabitha Tanghe" w:id="1" w:date="2024-04-09T08:50:57Z"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afspraken-nota is niet bindend genoeg -&gt; veranderen naar aanvulling overeenkomst schuldbemiddeling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5" w15:done="0"/>
  <w15:commentEx w15:paraId="00000026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line="276" w:lineRule="auto"/>
      <w:ind w:left="720" w:firstLine="0"/>
      <w:rPr>
        <w:rFonts w:ascii="Garamond" w:cs="Garamond" w:eastAsia="Garamond" w:hAnsi="Garamond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sz w:val="18"/>
        <w:szCs w:val="18"/>
        <w:rtl w:val="0"/>
      </w:rPr>
      <w:t xml:space="preserve">© BudgetInZicht Kempen </w:t>
      <w:tab/>
      <w:tab/>
      <w:tab/>
      <w:tab/>
      <w:tab/>
      <w:tab/>
      <w:tab/>
      <w:tab/>
      <w:tab/>
      <w:tab/>
    </w:r>
    <w:r w:rsidDel="00000000" w:rsidR="00000000" w:rsidRPr="00000000">
      <w:rPr>
        <w:rFonts w:ascii="Garamond" w:cs="Garamond" w:eastAsia="Garamond" w:hAnsi="Garamond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line="276" w:lineRule="auto"/>
      <w:ind w:left="720" w:firstLine="0"/>
      <w:rPr/>
    </w:pPr>
    <w:r w:rsidDel="00000000" w:rsidR="00000000" w:rsidRPr="00000000">
      <w:rPr>
        <w:rFonts w:ascii="Garamond" w:cs="Garamond" w:eastAsia="Garamond" w:hAnsi="Garamond"/>
        <w:sz w:val="18"/>
        <w:szCs w:val="18"/>
        <w:rtl w:val="0"/>
      </w:rPr>
      <w:t xml:space="preserve">Draaiboek Opstart Budgethulpverlening - september 2021 - bijlage 4: checklist opstart budgetbeheer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5604"/>
      </w:tabs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tabs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5604"/>
      </w:tabs>
    </w:pPr>
    <w:rPr>
      <w:rFonts w:ascii="Calibri" w:cs="Calibri" w:eastAsia="Calibri" w:hAnsi="Calibri"/>
      <w:b w:val="1"/>
      <w:sz w:val="26"/>
      <w:szCs w:val="26"/>
    </w:rPr>
  </w:style>
  <w:style w:type="paragraph" w:styleId="Heading3">
    <w:name w:val="heading 3"/>
    <w:basedOn w:val="Normal"/>
    <w:next w:val="Normal"/>
    <w:pPr>
      <w:tabs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5604"/>
      </w:tabs>
    </w:pPr>
    <w:rPr>
      <w:rFonts w:ascii="Calibri" w:cs="Calibri" w:eastAsia="Calibri" w:hAnsi="Calibri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b w:val="1"/>
      <w:sz w:val="100"/>
      <w:szCs w:val="10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5604"/>
      </w:tabs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tabs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5604"/>
      </w:tabs>
    </w:pPr>
    <w:rPr>
      <w:rFonts w:ascii="Calibri" w:cs="Calibri" w:eastAsia="Calibri" w:hAnsi="Calibri"/>
      <w:b w:val="1"/>
      <w:sz w:val="26"/>
      <w:szCs w:val="26"/>
    </w:rPr>
  </w:style>
  <w:style w:type="paragraph" w:styleId="Heading3">
    <w:name w:val="heading 3"/>
    <w:basedOn w:val="Normal"/>
    <w:next w:val="Normal"/>
    <w:pPr>
      <w:tabs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5604"/>
      </w:tabs>
    </w:pPr>
    <w:rPr>
      <w:rFonts w:ascii="Calibri" w:cs="Calibri" w:eastAsia="Calibri" w:hAnsi="Calibri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b w:val="1"/>
      <w:sz w:val="100"/>
      <w:szCs w:val="1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AsaTMSyghAQ6nzJwC4I0oMQZCw==">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